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8CF18E">
      <w:pPr>
        <w:pStyle w:val="2"/>
        <w:jc w:val="center"/>
        <w:rPr>
          <w:rFonts w:hint="eastAsia" w:ascii="黑体" w:hAnsi="黑体" w:eastAsia="黑体" w:cs="方正小标宋简体"/>
          <w:bCs/>
          <w:color w:val="4C4C4C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方正小标宋简体"/>
          <w:bCs/>
          <w:color w:val="4C4C4C"/>
          <w:sz w:val="32"/>
          <w:szCs w:val="32"/>
          <w:shd w:val="clear" w:color="auto" w:fill="FFFFFF"/>
        </w:rPr>
        <w:t>大连工业大学自学考试实践课线下统一考试考生须知</w:t>
      </w:r>
    </w:p>
    <w:p w14:paraId="3EB58079">
      <w:pPr>
        <w:ind w:firstLine="562" w:firstLineChars="200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一、实践课程线下统考及毕业设计答辩安排</w:t>
      </w:r>
    </w:p>
    <w:p w14:paraId="06226D4B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</w:t>
      </w:r>
      <w:r>
        <w:rPr>
          <w:rFonts w:ascii="仿宋" w:hAnsi="仿宋" w:eastAsia="仿宋"/>
          <w:sz w:val="28"/>
          <w:szCs w:val="28"/>
        </w:rPr>
        <w:t>本次实践环节线下考试采取闭卷形式，考试时间：2026年10月31日（星期六）。各</w:t>
      </w:r>
      <w:r>
        <w:rPr>
          <w:rFonts w:hint="eastAsia" w:ascii="仿宋" w:hAnsi="仿宋" w:eastAsia="仿宋"/>
          <w:sz w:val="28"/>
          <w:szCs w:val="28"/>
        </w:rPr>
        <w:t>如下</w:t>
      </w:r>
      <w:r>
        <w:rPr>
          <w:rFonts w:ascii="仿宋" w:hAnsi="仿宋" w:eastAsia="仿宋"/>
          <w:sz w:val="28"/>
          <w:szCs w:val="28"/>
        </w:rPr>
        <w:t>专业课程考试时段安排：</w:t>
      </w:r>
    </w:p>
    <w:tbl>
      <w:tblPr>
        <w:tblStyle w:val="16"/>
        <w:tblW w:w="98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0"/>
        <w:gridCol w:w="2180"/>
        <w:gridCol w:w="1126"/>
        <w:gridCol w:w="1099"/>
        <w:gridCol w:w="2693"/>
      </w:tblGrid>
      <w:tr w14:paraId="360B7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94" w:hRule="atLeast"/>
        </w:trPr>
        <w:tc>
          <w:tcPr>
            <w:tcW w:w="2710" w:type="dxa"/>
            <w:noWrap/>
            <w:vAlign w:val="center"/>
          </w:tcPr>
          <w:p w14:paraId="73C70EDF">
            <w:pPr>
              <w:ind w:firstLine="241" w:firstLineChars="100"/>
              <w:jc w:val="center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考试时间</w:t>
            </w:r>
          </w:p>
        </w:tc>
        <w:tc>
          <w:tcPr>
            <w:tcW w:w="7098" w:type="dxa"/>
            <w:gridSpan w:val="4"/>
            <w:noWrap/>
            <w:vAlign w:val="center"/>
          </w:tcPr>
          <w:p w14:paraId="369275FA">
            <w:pPr>
              <w:jc w:val="center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10月31日</w:t>
            </w:r>
          </w:p>
          <w:p w14:paraId="2BC4C021">
            <w:pPr>
              <w:jc w:val="center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（星期六）</w:t>
            </w:r>
          </w:p>
        </w:tc>
      </w:tr>
      <w:tr w14:paraId="50C70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2710" w:type="dxa"/>
            <w:vMerge w:val="restart"/>
            <w:vAlign w:val="center"/>
          </w:tcPr>
          <w:p w14:paraId="6FE12526">
            <w:pPr>
              <w:ind w:firstLine="240" w:firstLineChars="100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环境设计（专升本）</w:t>
            </w:r>
          </w:p>
        </w:tc>
        <w:tc>
          <w:tcPr>
            <w:tcW w:w="2180" w:type="dxa"/>
            <w:vAlign w:val="center"/>
          </w:tcPr>
          <w:p w14:paraId="2B5B0C75">
            <w:pPr>
              <w:jc w:val="center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8:00～11:00</w:t>
            </w:r>
          </w:p>
        </w:tc>
        <w:tc>
          <w:tcPr>
            <w:tcW w:w="2225" w:type="dxa"/>
            <w:gridSpan w:val="2"/>
            <w:vAlign w:val="center"/>
          </w:tcPr>
          <w:p w14:paraId="5EF99C79">
            <w:pPr>
              <w:jc w:val="center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12：00-14：00</w:t>
            </w:r>
          </w:p>
        </w:tc>
        <w:tc>
          <w:tcPr>
            <w:tcW w:w="2693" w:type="dxa"/>
            <w:vAlign w:val="center"/>
          </w:tcPr>
          <w:p w14:paraId="28F4C219">
            <w:pPr>
              <w:jc w:val="center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14：15-16：15</w:t>
            </w:r>
          </w:p>
        </w:tc>
      </w:tr>
      <w:tr w14:paraId="60C30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2710" w:type="dxa"/>
            <w:vMerge w:val="continue"/>
            <w:vAlign w:val="center"/>
          </w:tcPr>
          <w:p w14:paraId="7D8D17AA">
            <w:pPr>
              <w:jc w:val="center"/>
              <w:rPr>
                <w:rFonts w:hint="eastAsia"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180" w:type="dxa"/>
            <w:noWrap/>
            <w:vAlign w:val="center"/>
          </w:tcPr>
          <w:p w14:paraId="28D1D9C2">
            <w:pPr>
              <w:jc w:val="center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室外环境景观设计（实践）</w:t>
            </w:r>
          </w:p>
        </w:tc>
        <w:tc>
          <w:tcPr>
            <w:tcW w:w="2225" w:type="dxa"/>
            <w:gridSpan w:val="2"/>
            <w:noWrap/>
            <w:vAlign w:val="center"/>
          </w:tcPr>
          <w:p w14:paraId="159BAAD7">
            <w:pPr>
              <w:jc w:val="center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效果图表现技法（实践）</w:t>
            </w:r>
          </w:p>
        </w:tc>
        <w:tc>
          <w:tcPr>
            <w:tcW w:w="2693" w:type="dxa"/>
            <w:noWrap/>
            <w:vAlign w:val="center"/>
          </w:tcPr>
          <w:p w14:paraId="0FF5B8E6">
            <w:pPr>
              <w:jc w:val="center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模型制作（实践）</w:t>
            </w:r>
          </w:p>
        </w:tc>
      </w:tr>
      <w:tr w14:paraId="13DE8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2710" w:type="dxa"/>
            <w:vMerge w:val="restart"/>
            <w:vAlign w:val="center"/>
          </w:tcPr>
          <w:p w14:paraId="35944D5A">
            <w:pPr>
              <w:jc w:val="center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视觉传达设计（专升本）</w:t>
            </w:r>
          </w:p>
        </w:tc>
        <w:tc>
          <w:tcPr>
            <w:tcW w:w="3306" w:type="dxa"/>
            <w:gridSpan w:val="2"/>
            <w:vAlign w:val="center"/>
          </w:tcPr>
          <w:p w14:paraId="15685622">
            <w:pPr>
              <w:jc w:val="center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8:00～11:00</w:t>
            </w:r>
          </w:p>
        </w:tc>
        <w:tc>
          <w:tcPr>
            <w:tcW w:w="3792" w:type="dxa"/>
            <w:gridSpan w:val="2"/>
            <w:vAlign w:val="center"/>
          </w:tcPr>
          <w:p w14:paraId="5EBD010F">
            <w:pPr>
              <w:ind w:left="435"/>
              <w:jc w:val="center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12：00-15：00</w:t>
            </w:r>
          </w:p>
        </w:tc>
      </w:tr>
      <w:tr w14:paraId="50F12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2710" w:type="dxa"/>
            <w:vMerge w:val="continue"/>
            <w:vAlign w:val="center"/>
          </w:tcPr>
          <w:p w14:paraId="5B80631E">
            <w:pPr>
              <w:jc w:val="center"/>
              <w:rPr>
                <w:rFonts w:hint="eastAsia"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3306" w:type="dxa"/>
            <w:gridSpan w:val="2"/>
            <w:noWrap/>
            <w:vAlign w:val="center"/>
          </w:tcPr>
          <w:p w14:paraId="67676504">
            <w:pPr>
              <w:jc w:val="center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装饰色彩（实践）</w:t>
            </w:r>
          </w:p>
        </w:tc>
        <w:tc>
          <w:tcPr>
            <w:tcW w:w="3792" w:type="dxa"/>
            <w:gridSpan w:val="2"/>
            <w:vAlign w:val="center"/>
          </w:tcPr>
          <w:p w14:paraId="049B329B">
            <w:pPr>
              <w:ind w:left="435"/>
              <w:jc w:val="center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VI设计（实践）</w:t>
            </w:r>
          </w:p>
        </w:tc>
      </w:tr>
      <w:tr w14:paraId="1FE8E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2710" w:type="dxa"/>
            <w:vMerge w:val="restart"/>
            <w:vAlign w:val="center"/>
          </w:tcPr>
          <w:p w14:paraId="4EED6BE0">
            <w:pPr>
              <w:jc w:val="center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产品设计（专升本）</w:t>
            </w:r>
          </w:p>
        </w:tc>
        <w:tc>
          <w:tcPr>
            <w:tcW w:w="2180" w:type="dxa"/>
            <w:noWrap/>
            <w:vAlign w:val="center"/>
          </w:tcPr>
          <w:p w14:paraId="05505FCC">
            <w:pPr>
              <w:jc w:val="center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8:00～11:00</w:t>
            </w:r>
          </w:p>
        </w:tc>
        <w:tc>
          <w:tcPr>
            <w:tcW w:w="2225" w:type="dxa"/>
            <w:gridSpan w:val="2"/>
            <w:noWrap/>
            <w:vAlign w:val="center"/>
          </w:tcPr>
          <w:p w14:paraId="7777CC67">
            <w:pPr>
              <w:jc w:val="center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12：00-14：00</w:t>
            </w:r>
          </w:p>
        </w:tc>
        <w:tc>
          <w:tcPr>
            <w:tcW w:w="2693" w:type="dxa"/>
            <w:vAlign w:val="center"/>
          </w:tcPr>
          <w:p w14:paraId="49E98D91">
            <w:pPr>
              <w:jc w:val="center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14：15-16：15</w:t>
            </w:r>
          </w:p>
        </w:tc>
      </w:tr>
      <w:tr w14:paraId="2B2FA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2710" w:type="dxa"/>
            <w:vMerge w:val="continue"/>
            <w:vAlign w:val="center"/>
          </w:tcPr>
          <w:p w14:paraId="441230BE">
            <w:pPr>
              <w:jc w:val="center"/>
              <w:rPr>
                <w:rFonts w:hint="eastAsia"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180" w:type="dxa"/>
            <w:noWrap/>
            <w:vAlign w:val="center"/>
          </w:tcPr>
          <w:p w14:paraId="08E4BCDF">
            <w:pPr>
              <w:jc w:val="center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计算机辅助产品设计（实践）</w:t>
            </w:r>
          </w:p>
        </w:tc>
        <w:tc>
          <w:tcPr>
            <w:tcW w:w="2225" w:type="dxa"/>
            <w:gridSpan w:val="2"/>
            <w:noWrap/>
            <w:vAlign w:val="center"/>
          </w:tcPr>
          <w:p w14:paraId="4A2E744E">
            <w:pPr>
              <w:jc w:val="center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人机工程学应用（实践）</w:t>
            </w:r>
          </w:p>
        </w:tc>
        <w:tc>
          <w:tcPr>
            <w:tcW w:w="2693" w:type="dxa"/>
            <w:vAlign w:val="center"/>
          </w:tcPr>
          <w:p w14:paraId="73309E23">
            <w:pPr>
              <w:jc w:val="center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产品设计程序与方法（实践）</w:t>
            </w:r>
          </w:p>
        </w:tc>
      </w:tr>
    </w:tbl>
    <w:p w14:paraId="116C92DF">
      <w:pPr>
        <w:rPr>
          <w:rFonts w:hint="eastAsia" w:ascii="仿宋_GB2312" w:eastAsia="仿宋_GB2312"/>
          <w:sz w:val="28"/>
          <w:szCs w:val="28"/>
        </w:rPr>
      </w:pPr>
    </w:p>
    <w:p w14:paraId="1F918CBB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毕业设计答辩安排请参照《关于大连工业大学自学考试202610批次毕业设计（论文）工作安排的通知》。</w:t>
      </w:r>
    </w:p>
    <w:p w14:paraId="02DA8AA6">
      <w:pPr>
        <w:rPr>
          <w:rFonts w:hint="eastAsia" w:ascii="仿宋_GB2312" w:eastAsia="仿宋_GB2312"/>
          <w:sz w:val="28"/>
          <w:szCs w:val="28"/>
        </w:rPr>
      </w:pPr>
      <w:r>
        <w:fldChar w:fldCharType="begin"/>
      </w:r>
      <w:r>
        <w:instrText xml:space="preserve"> HYPERLINK "https://jxjy.dlpu.edu.cn/detail/3297_940b566060df2cbdca7850f030088c94.html" </w:instrText>
      </w:r>
      <w:r>
        <w:fldChar w:fldCharType="separate"/>
      </w:r>
      <w:r>
        <w:rPr>
          <w:rStyle w:val="9"/>
          <w:rFonts w:hint="eastAsia" w:ascii="仿宋_GB2312" w:eastAsia="仿宋_GB2312"/>
          <w:sz w:val="28"/>
          <w:szCs w:val="28"/>
        </w:rPr>
        <w:t>https://jxjy.dlpu.edu.cn/detail/3297_940b566060df2cbdca7850f030088c94.html</w:t>
      </w:r>
      <w:r>
        <w:rPr>
          <w:rStyle w:val="9"/>
          <w:rFonts w:hint="eastAsia" w:ascii="仿宋_GB2312" w:eastAsia="仿宋_GB2312"/>
          <w:sz w:val="28"/>
          <w:szCs w:val="28"/>
        </w:rPr>
        <w:fldChar w:fldCharType="end"/>
      </w:r>
      <w:r>
        <w:rPr>
          <w:rFonts w:hint="eastAsia" w:ascii="仿宋_GB2312" w:eastAsia="仿宋_GB2312"/>
          <w:sz w:val="28"/>
          <w:szCs w:val="28"/>
        </w:rPr>
        <w:t>。</w:t>
      </w:r>
    </w:p>
    <w:p w14:paraId="0D23C817">
      <w:pPr>
        <w:ind w:firstLine="562" w:firstLineChars="200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二、考前准备</w:t>
      </w:r>
    </w:p>
    <w:p w14:paraId="0BBF17E5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实践环节课程考试用具准备（画具自备）：</w:t>
      </w:r>
    </w:p>
    <w:tbl>
      <w:tblPr>
        <w:tblStyle w:val="6"/>
        <w:tblW w:w="91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5"/>
        <w:gridCol w:w="2220"/>
        <w:gridCol w:w="5724"/>
      </w:tblGrid>
      <w:tr w14:paraId="40617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225" w:type="dxa"/>
            <w:noWrap/>
            <w:vAlign w:val="center"/>
          </w:tcPr>
          <w:p w14:paraId="339894CE">
            <w:pPr>
              <w:widowControl/>
              <w:jc w:val="center"/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Cs w:val="21"/>
              </w:rPr>
              <w:t>专业</w:t>
            </w:r>
          </w:p>
        </w:tc>
        <w:tc>
          <w:tcPr>
            <w:tcW w:w="2220" w:type="dxa"/>
            <w:noWrap/>
            <w:vAlign w:val="center"/>
          </w:tcPr>
          <w:p w14:paraId="7F917D45">
            <w:pPr>
              <w:widowControl/>
              <w:jc w:val="center"/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Cs w:val="21"/>
              </w:rPr>
              <w:t>课程</w:t>
            </w:r>
          </w:p>
        </w:tc>
        <w:tc>
          <w:tcPr>
            <w:tcW w:w="5724" w:type="dxa"/>
            <w:noWrap/>
            <w:vAlign w:val="center"/>
          </w:tcPr>
          <w:p w14:paraId="0B7FC97D">
            <w:pPr>
              <w:widowControl/>
              <w:jc w:val="center"/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Cs w:val="21"/>
              </w:rPr>
              <w:t>考试用具</w:t>
            </w:r>
          </w:p>
        </w:tc>
      </w:tr>
      <w:tr w14:paraId="5E205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225" w:type="dxa"/>
            <w:vMerge w:val="restart"/>
            <w:noWrap/>
            <w:vAlign w:val="center"/>
          </w:tcPr>
          <w:p w14:paraId="766B1457"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Cs w:val="21"/>
              </w:rPr>
            </w:pPr>
            <w:r>
              <w:rPr>
                <w:rFonts w:hint="eastAsia" w:ascii="仿宋_GB2312" w:hAnsi="等线" w:eastAsia="仿宋_GB2312" w:cs="宋体"/>
                <w:kern w:val="0"/>
                <w:szCs w:val="21"/>
              </w:rPr>
              <w:t>环境设计</w:t>
            </w:r>
          </w:p>
        </w:tc>
        <w:tc>
          <w:tcPr>
            <w:tcW w:w="2220" w:type="dxa"/>
            <w:noWrap/>
            <w:vAlign w:val="center"/>
          </w:tcPr>
          <w:p w14:paraId="04F841AC"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室外环境景观设计（实践）</w:t>
            </w:r>
          </w:p>
        </w:tc>
        <w:tc>
          <w:tcPr>
            <w:tcW w:w="5724" w:type="dxa"/>
            <w:noWrap/>
            <w:vAlign w:val="center"/>
          </w:tcPr>
          <w:p w14:paraId="42FC24E6"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Cs w:val="21"/>
              </w:rPr>
            </w:pPr>
            <w:r>
              <w:rPr>
                <w:rFonts w:hint="eastAsia" w:ascii="仿宋_GB2312" w:hAnsi="等线" w:eastAsia="仿宋_GB2312" w:cs="宋体"/>
                <w:kern w:val="0"/>
                <w:szCs w:val="21"/>
              </w:rPr>
              <w:t>1、画材。水粉（颜色和画笔）或马克笔（套）或彩色铅笔（套）等。2.工具：直尺、圆规、铅笔、橡皮等。</w:t>
            </w:r>
          </w:p>
        </w:tc>
      </w:tr>
      <w:tr w14:paraId="2D1A7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225" w:type="dxa"/>
            <w:vMerge w:val="continue"/>
            <w:vAlign w:val="center"/>
          </w:tcPr>
          <w:p w14:paraId="196921B0"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Cs w:val="21"/>
              </w:rPr>
            </w:pPr>
          </w:p>
        </w:tc>
        <w:tc>
          <w:tcPr>
            <w:tcW w:w="2220" w:type="dxa"/>
            <w:noWrap/>
            <w:vAlign w:val="center"/>
          </w:tcPr>
          <w:p w14:paraId="713E241E"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效果图表现技法（实践）</w:t>
            </w:r>
          </w:p>
        </w:tc>
        <w:tc>
          <w:tcPr>
            <w:tcW w:w="5724" w:type="dxa"/>
            <w:noWrap/>
            <w:vAlign w:val="center"/>
          </w:tcPr>
          <w:p w14:paraId="77FC822A"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Cs w:val="21"/>
              </w:rPr>
            </w:pPr>
            <w:r>
              <w:rPr>
                <w:rFonts w:hint="eastAsia" w:ascii="仿宋_GB2312" w:hAnsi="等线" w:eastAsia="仿宋_GB2312" w:cs="宋体"/>
                <w:kern w:val="0"/>
                <w:szCs w:val="21"/>
              </w:rPr>
              <w:t>1、画材。水粉（颜色和画笔）或马克笔（套）或彩色铅笔（套）等。2.工具：直尺、圆规、铅笔、橡皮等。</w:t>
            </w:r>
          </w:p>
        </w:tc>
      </w:tr>
      <w:tr w14:paraId="2389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225" w:type="dxa"/>
            <w:vMerge w:val="continue"/>
            <w:vAlign w:val="center"/>
          </w:tcPr>
          <w:p w14:paraId="6BFDA2F1"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Cs w:val="21"/>
              </w:rPr>
            </w:pPr>
          </w:p>
        </w:tc>
        <w:tc>
          <w:tcPr>
            <w:tcW w:w="2220" w:type="dxa"/>
            <w:noWrap/>
            <w:vAlign w:val="center"/>
          </w:tcPr>
          <w:p w14:paraId="7C60E70A">
            <w:pPr>
              <w:widowControl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bookmarkStart w:id="0" w:name="_Hlk176955079"/>
            <w:r>
              <w:rPr>
                <w:rFonts w:hint="eastAsia" w:ascii="仿宋_GB2312" w:eastAsia="仿宋_GB2312"/>
                <w:sz w:val="24"/>
                <w:szCs w:val="24"/>
              </w:rPr>
              <w:t>模型制作</w:t>
            </w:r>
            <w:bookmarkEnd w:id="0"/>
            <w:r>
              <w:rPr>
                <w:rFonts w:hint="eastAsia" w:ascii="仿宋_GB2312" w:eastAsia="仿宋_GB2312"/>
                <w:sz w:val="24"/>
                <w:szCs w:val="24"/>
              </w:rPr>
              <w:t>（实践）</w:t>
            </w:r>
          </w:p>
        </w:tc>
        <w:tc>
          <w:tcPr>
            <w:tcW w:w="5724" w:type="dxa"/>
            <w:noWrap/>
            <w:vAlign w:val="center"/>
          </w:tcPr>
          <w:p w14:paraId="2C8C75A0">
            <w:pPr>
              <w:widowControl/>
              <w:jc w:val="left"/>
              <w:rPr>
                <w:rFonts w:hint="eastAsia" w:ascii="仿宋_GB2312" w:hAnsi="微软雅黑" w:eastAsia="仿宋_GB2312"/>
                <w:szCs w:val="21"/>
                <w:shd w:val="clear" w:color="auto" w:fill="FFFFFF"/>
              </w:rPr>
            </w:pPr>
            <w:r>
              <w:rPr>
                <w:rFonts w:hint="eastAsia" w:ascii="仿宋_GB2312" w:hAnsi="微软雅黑" w:eastAsia="仿宋_GB2312"/>
                <w:szCs w:val="21"/>
                <w:shd w:val="clear" w:color="auto" w:fill="FFFFFF"/>
              </w:rPr>
              <w:t>美工刀或手术刀或剪刀等切割工具，双面胶或胶棒或胶水或透明胶带等粘接工具，圆规、钢尺、三角板、</w:t>
            </w:r>
            <w:r>
              <w:rPr>
                <w:rFonts w:ascii="仿宋_GB2312" w:hAnsi="微软雅黑" w:eastAsia="仿宋_GB2312"/>
                <w:szCs w:val="21"/>
                <w:shd w:val="clear" w:color="auto" w:fill="FFFFFF"/>
              </w:rPr>
              <w:t>HB铅笔、切割垫等辅助工具。</w:t>
            </w:r>
          </w:p>
        </w:tc>
      </w:tr>
      <w:tr w14:paraId="6D6A7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225" w:type="dxa"/>
            <w:vMerge w:val="restart"/>
            <w:noWrap/>
            <w:vAlign w:val="center"/>
          </w:tcPr>
          <w:p w14:paraId="663CDD05">
            <w:pPr>
              <w:widowControl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</w:rPr>
              <w:t>视觉传达设计</w:t>
            </w:r>
          </w:p>
        </w:tc>
        <w:tc>
          <w:tcPr>
            <w:tcW w:w="2220" w:type="dxa"/>
            <w:noWrap/>
            <w:vAlign w:val="center"/>
          </w:tcPr>
          <w:p w14:paraId="47F808DE">
            <w:pPr>
              <w:widowControl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装饰色彩（实践）</w:t>
            </w:r>
          </w:p>
        </w:tc>
        <w:tc>
          <w:tcPr>
            <w:tcW w:w="5724" w:type="dxa"/>
            <w:noWrap/>
            <w:vAlign w:val="center"/>
          </w:tcPr>
          <w:p w14:paraId="117916C0">
            <w:pPr>
              <w:widowControl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</w:rPr>
              <w:t>1、画材。水粉（颜色和画笔）或马克笔（套）或彩色铅笔（套）等。2.工具：直尺、圆规、铅笔、橡皮等。</w:t>
            </w:r>
          </w:p>
        </w:tc>
      </w:tr>
      <w:tr w14:paraId="4C5C4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225" w:type="dxa"/>
            <w:vMerge w:val="continue"/>
            <w:vAlign w:val="center"/>
          </w:tcPr>
          <w:p w14:paraId="2997B04B">
            <w:pPr>
              <w:widowControl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2220" w:type="dxa"/>
            <w:noWrap/>
            <w:vAlign w:val="center"/>
          </w:tcPr>
          <w:p w14:paraId="3B530031">
            <w:pPr>
              <w:widowControl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VI 设计（实践）</w:t>
            </w:r>
          </w:p>
        </w:tc>
        <w:tc>
          <w:tcPr>
            <w:tcW w:w="5724" w:type="dxa"/>
            <w:noWrap/>
            <w:vAlign w:val="center"/>
          </w:tcPr>
          <w:p w14:paraId="7A3B348F">
            <w:pPr>
              <w:widowControl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</w:rPr>
              <w:t>1、画材。水粉（颜色和画笔）或马克笔（套）或彩色铅笔（套）等。2.工具：直尺、圆规、铅笔、橡皮等。</w:t>
            </w:r>
          </w:p>
        </w:tc>
      </w:tr>
      <w:tr w14:paraId="09AA8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225" w:type="dxa"/>
            <w:vMerge w:val="restart"/>
            <w:vAlign w:val="center"/>
          </w:tcPr>
          <w:p w14:paraId="3A464D49">
            <w:pPr>
              <w:widowControl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</w:rPr>
              <w:t>产品设计</w:t>
            </w:r>
          </w:p>
        </w:tc>
        <w:tc>
          <w:tcPr>
            <w:tcW w:w="2220" w:type="dxa"/>
            <w:noWrap/>
            <w:vAlign w:val="center"/>
          </w:tcPr>
          <w:p w14:paraId="5D30DF85">
            <w:pPr>
              <w:widowControl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计算机辅助产品设计（实践）</w:t>
            </w:r>
          </w:p>
        </w:tc>
        <w:tc>
          <w:tcPr>
            <w:tcW w:w="5724" w:type="dxa"/>
            <w:noWrap/>
            <w:vAlign w:val="center"/>
          </w:tcPr>
          <w:p w14:paraId="39569A1D">
            <w:pPr>
              <w:widowControl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</w:rPr>
              <w:t>电脑机上答题</w:t>
            </w:r>
          </w:p>
        </w:tc>
      </w:tr>
      <w:tr w14:paraId="4EAAB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225" w:type="dxa"/>
            <w:vMerge w:val="continue"/>
            <w:vAlign w:val="center"/>
          </w:tcPr>
          <w:p w14:paraId="464E44EF">
            <w:pPr>
              <w:widowControl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2220" w:type="dxa"/>
            <w:noWrap/>
            <w:vAlign w:val="center"/>
          </w:tcPr>
          <w:p w14:paraId="6757853A">
            <w:pPr>
              <w:widowControl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人机工程学应用（实践）</w:t>
            </w:r>
          </w:p>
        </w:tc>
        <w:tc>
          <w:tcPr>
            <w:tcW w:w="5724" w:type="dxa"/>
            <w:noWrap/>
            <w:vAlign w:val="center"/>
          </w:tcPr>
          <w:p w14:paraId="6EACA6AE">
            <w:pPr>
              <w:widowControl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</w:rPr>
              <w:t>1、画材。水粉（颜色和画笔）或马克笔（套）或彩色铅笔（套）等。2.工具：直尺、圆规、铅笔、橡皮等。</w:t>
            </w:r>
          </w:p>
        </w:tc>
      </w:tr>
      <w:tr w14:paraId="010DB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225" w:type="dxa"/>
            <w:vMerge w:val="continue"/>
            <w:vAlign w:val="center"/>
          </w:tcPr>
          <w:p w14:paraId="69854E6B">
            <w:pPr>
              <w:widowControl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2220" w:type="dxa"/>
            <w:noWrap/>
            <w:vAlign w:val="center"/>
          </w:tcPr>
          <w:p w14:paraId="012A3C5A">
            <w:pPr>
              <w:widowControl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产品设计程序与方法（实践）</w:t>
            </w:r>
          </w:p>
        </w:tc>
        <w:tc>
          <w:tcPr>
            <w:tcW w:w="5724" w:type="dxa"/>
            <w:noWrap/>
            <w:vAlign w:val="center"/>
          </w:tcPr>
          <w:p w14:paraId="1CE18981">
            <w:pPr>
              <w:widowControl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</w:rPr>
              <w:t>1、画材。水粉（颜色和画笔）或马克笔（套）或彩色铅笔（套）等。2.工具：直尺、圆规、铅笔、橡皮等。</w:t>
            </w:r>
          </w:p>
        </w:tc>
      </w:tr>
    </w:tbl>
    <w:p w14:paraId="027F5FDE">
      <w:pPr>
        <w:rPr>
          <w:rFonts w:hint="eastAsia" w:ascii="仿宋_GB2312" w:hAnsi="仿宋_GB2312" w:eastAsia="仿宋_GB2312" w:cs="仿宋_GB2312"/>
          <w:sz w:val="28"/>
          <w:szCs w:val="28"/>
        </w:rPr>
      </w:pPr>
    </w:p>
    <w:p w14:paraId="35146008">
      <w:pPr>
        <w:ind w:firstLine="562" w:firstLineChars="200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三、考试说明</w:t>
      </w:r>
    </w:p>
    <w:p w14:paraId="16159640">
      <w:pPr>
        <w:ind w:firstLine="562" w:firstLineChars="200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（一）环境设计（专升本）专业模型制作（实践）课程考试说明</w:t>
      </w:r>
    </w:p>
    <w:p w14:paraId="5531DA2F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1.考生须提前观看“环境设计（专升本）专业模型制作（实践）课程作品上传教程”（附件3）。</w:t>
      </w:r>
    </w:p>
    <w:p w14:paraId="748C1B1B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2.考生作品完成后，用签字笔在作品顶部明显处标注相关信息，举例如下：</w:t>
      </w:r>
    </w:p>
    <w:p w14:paraId="3DF8D970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姓名：张三</w:t>
      </w:r>
    </w:p>
    <w:p w14:paraId="0EBA76A1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准考证号：010620200287</w:t>
      </w:r>
    </w:p>
    <w:p w14:paraId="2265C945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考场号：考场01</w:t>
      </w:r>
    </w:p>
    <w:p w14:paraId="35E71A2F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座位序号：16</w:t>
      </w:r>
    </w:p>
    <w:p w14:paraId="0D730B68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考生在提交作品时使用自考教育云课堂app，将完成的作品按照 “前、后、左、右”和“正上方”5个方向拍照，选取其中3张上传，上传后须检查是否上传成功，经监考教师同意方可离开考场。</w:t>
      </w:r>
    </w:p>
    <w:p w14:paraId="1371F6CB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bookmarkStart w:id="2" w:name="_GoBack"/>
      <w:bookmarkEnd w:id="2"/>
      <w:r>
        <w:rPr>
          <w:rFonts w:ascii="仿宋" w:hAnsi="仿宋" w:eastAsia="仿宋"/>
          <w:sz w:val="28"/>
          <w:szCs w:val="28"/>
        </w:rPr>
        <w:t>除交卷拍照环节外，考场内禁止使用手机。</w:t>
      </w:r>
    </w:p>
    <w:p w14:paraId="2F8155B0">
      <w:pPr>
        <w:ind w:firstLine="562" w:firstLineChars="200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（三）产品设计（专升本）专业计算机辅助设计（实践）课程考试说明</w:t>
      </w:r>
    </w:p>
    <w:p w14:paraId="0FC0FFCE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1.电子答卷命名规范：考场文件夹命名为 “考点</w:t>
      </w:r>
      <w:r>
        <w:rPr>
          <w:rFonts w:ascii="仿宋" w:hAnsi="仿宋" w:eastAsia="仿宋"/>
          <w:sz w:val="28"/>
          <w:szCs w:val="28"/>
        </w:rPr>
        <w:noBreakHyphen/>
      </w:r>
      <w:r>
        <w:rPr>
          <w:rFonts w:ascii="仿宋" w:hAnsi="仿宋" w:eastAsia="仿宋"/>
          <w:sz w:val="28"/>
          <w:szCs w:val="28"/>
        </w:rPr>
        <w:t>考场编号”；</w:t>
      </w:r>
      <w:r>
        <w:rPr>
          <w:rFonts w:hint="eastAsia" w:ascii="仿宋" w:hAnsi="仿宋" w:eastAsia="仿宋"/>
          <w:sz w:val="28"/>
          <w:szCs w:val="28"/>
        </w:rPr>
        <w:t>每个</w:t>
      </w:r>
      <w:r>
        <w:rPr>
          <w:rFonts w:ascii="仿宋" w:hAnsi="仿宋" w:eastAsia="仿宋"/>
          <w:sz w:val="28"/>
          <w:szCs w:val="28"/>
        </w:rPr>
        <w:t>考生文件命名格式：考场名</w:t>
      </w:r>
      <w:r>
        <w:rPr>
          <w:rFonts w:ascii="仿宋" w:hAnsi="仿宋" w:eastAsia="仿宋"/>
          <w:sz w:val="28"/>
          <w:szCs w:val="28"/>
        </w:rPr>
        <w:noBreakHyphen/>
      </w:r>
      <w:r>
        <w:rPr>
          <w:rFonts w:ascii="仿宋" w:hAnsi="仿宋" w:eastAsia="仿宋"/>
          <w:sz w:val="28"/>
          <w:szCs w:val="28"/>
        </w:rPr>
        <w:t>座位序号</w:t>
      </w:r>
      <w:r>
        <w:rPr>
          <w:rFonts w:ascii="仿宋" w:hAnsi="仿宋" w:eastAsia="仿宋"/>
          <w:sz w:val="28"/>
          <w:szCs w:val="28"/>
        </w:rPr>
        <w:noBreakHyphen/>
      </w:r>
      <w:r>
        <w:rPr>
          <w:rFonts w:ascii="仿宋" w:hAnsi="仿宋" w:eastAsia="仿宋"/>
          <w:sz w:val="28"/>
          <w:szCs w:val="28"/>
        </w:rPr>
        <w:t>姓名</w:t>
      </w:r>
      <w:r>
        <w:rPr>
          <w:rFonts w:ascii="仿宋" w:hAnsi="仿宋" w:eastAsia="仿宋"/>
          <w:sz w:val="28"/>
          <w:szCs w:val="28"/>
        </w:rPr>
        <w:noBreakHyphen/>
      </w:r>
      <w:r>
        <w:rPr>
          <w:rFonts w:ascii="仿宋" w:hAnsi="仿宋" w:eastAsia="仿宋"/>
          <w:sz w:val="28"/>
          <w:szCs w:val="28"/>
        </w:rPr>
        <w:t>准考证号，全部考场文件汇总至 “助学单位+计算机辅助设计（实践）”总文件夹。</w:t>
      </w:r>
    </w:p>
    <w:p w14:paraId="7A224485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2.考试过程中，考生须及时保存操作的每一步骤（</w:t>
      </w:r>
      <w:r>
        <w:rPr>
          <w:rFonts w:ascii="仿宋" w:hAnsi="仿宋" w:eastAsia="仿宋"/>
          <w:sz w:val="28"/>
          <w:szCs w:val="28"/>
        </w:rPr>
        <w:t>Ctrl+S</w:t>
      </w:r>
      <w:r>
        <w:rPr>
          <w:rFonts w:hint="eastAsia" w:ascii="仿宋" w:hAnsi="仿宋" w:eastAsia="仿宋"/>
          <w:sz w:val="28"/>
          <w:szCs w:val="28"/>
        </w:rPr>
        <w:t>），</w:t>
      </w:r>
      <w:r>
        <w:rPr>
          <w:rFonts w:ascii="仿宋" w:hAnsi="仿宋" w:eastAsia="仿宋"/>
          <w:sz w:val="28"/>
          <w:szCs w:val="28"/>
        </w:rPr>
        <w:t>因未及时保存造成文件丢失，后果由考生自行承担。</w:t>
      </w:r>
    </w:p>
    <w:p w14:paraId="5C65EC92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3.答卷拷贝至U盘时，考生须与监考教师共同核验文件可正常打开；答卷存入考试专用U盘，由助学单位完成U盘数据备份。</w:t>
      </w:r>
    </w:p>
    <w:p w14:paraId="2018C4DA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 w14:paraId="79CC4CF3">
      <w:pPr>
        <w:rPr>
          <w:rFonts w:hint="eastAsia" w:ascii="方正大标宋简体" w:eastAsia="方正大标宋简体"/>
          <w:sz w:val="36"/>
        </w:rPr>
      </w:pPr>
      <w:bookmarkStart w:id="1" w:name="_Hlk208818372"/>
      <w:r>
        <w:rPr>
          <w:rFonts w:hint="eastAsia" w:ascii="方正大标宋简体" w:eastAsia="方正大标宋简体"/>
          <w:sz w:val="36"/>
        </w:rPr>
        <w:br w:type="page"/>
      </w:r>
    </w:p>
    <w:p w14:paraId="1E83E943">
      <w:pPr>
        <w:spacing w:before="15"/>
        <w:jc w:val="left"/>
        <w:rPr>
          <w:rFonts w:hint="eastAsia" w:ascii="仿宋_GB2312" w:hAnsi="仿宋_GB2312" w:eastAsia="仿宋_GB2312" w:cs="仿宋_GB2312"/>
          <w:sz w:val="36"/>
        </w:rPr>
      </w:pPr>
      <w:r>
        <w:rPr>
          <w:rFonts w:hint="eastAsia" w:ascii="仿宋_GB2312" w:hAnsi="仿宋_GB2312" w:eastAsia="仿宋_GB2312" w:cs="仿宋_GB2312"/>
          <w:sz w:val="36"/>
        </w:rPr>
        <w:t>附件：</w:t>
      </w:r>
    </w:p>
    <w:p w14:paraId="19FA6DC3">
      <w:pPr>
        <w:spacing w:before="15"/>
        <w:jc w:val="center"/>
        <w:rPr>
          <w:rFonts w:hint="eastAsia" w:ascii="方正大标宋简体" w:eastAsia="方正大标宋简体"/>
          <w:sz w:val="36"/>
        </w:rPr>
      </w:pPr>
      <w:r>
        <w:rPr>
          <w:rFonts w:hint="eastAsia" w:ascii="方正大标宋简体" w:eastAsia="方正大标宋简体"/>
          <w:sz w:val="36"/>
        </w:rPr>
        <w:t>辽宁省高等教育自学考试考生须知</w:t>
      </w:r>
    </w:p>
    <w:bookmarkEnd w:id="1"/>
    <w:p w14:paraId="53B6EC39">
      <w:pPr>
        <w:pStyle w:val="2"/>
        <w:spacing w:line="391" w:lineRule="auto"/>
        <w:ind w:right="264" w:firstLine="480"/>
        <w:rPr>
          <w:rFonts w:hint="eastAsia"/>
          <w:w w:val="95"/>
        </w:rPr>
      </w:pPr>
    </w:p>
    <w:p w14:paraId="5003A89C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一、考生应诚信应考，并自觉服从监考员等考试工作人员管理，不得以任何理由妨碍监考员等考试工作人员履行职责，不得扰乱考场及其他考试工作地点的秩序。</w:t>
      </w:r>
    </w:p>
    <w:p w14:paraId="3768558B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二、考生凭准考证、有效身份证件，按规定时间和地点参加考试。</w:t>
      </w:r>
    </w:p>
    <w:p w14:paraId="68658CF5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三、考生入场，除2B铅笔、0.5mm黑色墨水签字笔、橡皮、直尺、圆规、三角板外（其他科目有特殊规定的除外），其他任何物品不准带入考场。</w:t>
      </w:r>
    </w:p>
    <w:p w14:paraId="1ADD73AA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有专业特殊和课程特殊需要的用具和材料，经过允许，方可带入考场。</w:t>
      </w:r>
    </w:p>
    <w:p w14:paraId="3CAB005F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考场内不得自行传递文具、用品等。</w:t>
      </w:r>
    </w:p>
    <w:p w14:paraId="073A1E86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四、考生入场后，要按号入座，将本人准考证、有效身份证件放在课桌上以便核验。考生领到答题卡和试题后，应在指定位置和规定的时间内准确清楚地填涂姓名、准考证号、座位号等栏目。凡漏填、错填或字迹不清的答题卡无效。</w:t>
      </w:r>
    </w:p>
    <w:p w14:paraId="5BB19E45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遇试题分发错误及试题字迹不清等问题，可举手询问；涉及试题内容的疑问，不得向监考员询问。</w:t>
      </w:r>
    </w:p>
    <w:p w14:paraId="4811A19F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五、统一开考信号发出后才能开始答题。</w:t>
      </w:r>
    </w:p>
    <w:p w14:paraId="15433B21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六、迟到30分钟后考生不准进入考点参加当科课程考试</w:t>
      </w:r>
      <w:r>
        <w:rPr>
          <w:rFonts w:hint="eastAsia" w:ascii="仿宋_GB2312" w:hAnsi="仿宋_GB2312" w:eastAsia="仿宋_GB2312" w:cs="仿宋_GB2312"/>
          <w:sz w:val="28"/>
          <w:szCs w:val="28"/>
        </w:rPr>
        <w:t>，</w:t>
      </w:r>
      <w:r>
        <w:rPr>
          <w:rFonts w:ascii="仿宋_GB2312" w:hAnsi="仿宋_GB2312" w:eastAsia="仿宋_GB2312" w:cs="仿宋_GB2312"/>
          <w:sz w:val="28"/>
          <w:szCs w:val="28"/>
        </w:rPr>
        <w:t>交卷出场后不得再进场续考，也不得在考场附近逗留或交谈。</w:t>
      </w:r>
    </w:p>
    <w:p w14:paraId="6B466968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七、考生必须在答题卡规定的区域答题，不准用规定以外的笔和纸答题，不准在答题卡上作任何标记。</w:t>
      </w:r>
    </w:p>
    <w:p w14:paraId="07469AFE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八、考生在考场内须保持安静，不准吸烟，不准喧哗，不准交头接耳、左顾右盼、打手势、做暗号，不准夹带、旁窥、抄袭或有意让他人抄答案或交换试题、答题卡，不准将答题卡、试题或草稿纸带出考场。</w:t>
      </w:r>
    </w:p>
    <w:p w14:paraId="3AB4BE71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九、考试结束信号发出后，考生应立即停止答卷，根据监考员指令依次退出考场，不准在考场附近逗留。</w:t>
      </w:r>
    </w:p>
    <w:p w14:paraId="42FAC96C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十、对不遵守考场纪律，不服从考试工作人员管理，有违纪、作弊等行为的考生，将按照《国家教育考试违规处理办法》（教育部33号令）进行处理并记入考生诚信考试电子档案。</w:t>
      </w:r>
    </w:p>
    <w:p w14:paraId="7277CD41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sectPr>
      <w:pgSz w:w="11906" w:h="16838"/>
      <w:pgMar w:top="1871" w:right="1474" w:bottom="175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大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A789A"/>
    <w:rsid w:val="00012E3A"/>
    <w:rsid w:val="000639C7"/>
    <w:rsid w:val="00074134"/>
    <w:rsid w:val="00076E10"/>
    <w:rsid w:val="00085646"/>
    <w:rsid w:val="000A7AED"/>
    <w:rsid w:val="000B5886"/>
    <w:rsid w:val="000C0D0D"/>
    <w:rsid w:val="000C3BBF"/>
    <w:rsid w:val="000D01B1"/>
    <w:rsid w:val="000D6094"/>
    <w:rsid w:val="000E354C"/>
    <w:rsid w:val="000E38AD"/>
    <w:rsid w:val="00103838"/>
    <w:rsid w:val="00123FDC"/>
    <w:rsid w:val="0015676C"/>
    <w:rsid w:val="00193496"/>
    <w:rsid w:val="00194B3E"/>
    <w:rsid w:val="001A789A"/>
    <w:rsid w:val="001B5D9A"/>
    <w:rsid w:val="001C0C0B"/>
    <w:rsid w:val="001C6C41"/>
    <w:rsid w:val="001F27A4"/>
    <w:rsid w:val="002250D9"/>
    <w:rsid w:val="00231D1C"/>
    <w:rsid w:val="0027448F"/>
    <w:rsid w:val="002800F4"/>
    <w:rsid w:val="002830F9"/>
    <w:rsid w:val="002978CD"/>
    <w:rsid w:val="002A3D57"/>
    <w:rsid w:val="002A5E40"/>
    <w:rsid w:val="002D72DA"/>
    <w:rsid w:val="002E0E35"/>
    <w:rsid w:val="002E3E22"/>
    <w:rsid w:val="002E5D10"/>
    <w:rsid w:val="002F2DA9"/>
    <w:rsid w:val="002F61A5"/>
    <w:rsid w:val="00301C31"/>
    <w:rsid w:val="003161E8"/>
    <w:rsid w:val="00357EDE"/>
    <w:rsid w:val="00361423"/>
    <w:rsid w:val="00376BCE"/>
    <w:rsid w:val="00376C64"/>
    <w:rsid w:val="00387193"/>
    <w:rsid w:val="0039291F"/>
    <w:rsid w:val="003E6DD6"/>
    <w:rsid w:val="00426F83"/>
    <w:rsid w:val="00444EF3"/>
    <w:rsid w:val="0044776A"/>
    <w:rsid w:val="004501B3"/>
    <w:rsid w:val="00472A17"/>
    <w:rsid w:val="004761E1"/>
    <w:rsid w:val="00483130"/>
    <w:rsid w:val="004A5AC3"/>
    <w:rsid w:val="004B5A2C"/>
    <w:rsid w:val="004E630E"/>
    <w:rsid w:val="00523547"/>
    <w:rsid w:val="00534E84"/>
    <w:rsid w:val="00550197"/>
    <w:rsid w:val="00592EEF"/>
    <w:rsid w:val="005941A3"/>
    <w:rsid w:val="0059567D"/>
    <w:rsid w:val="005C019B"/>
    <w:rsid w:val="005C57F5"/>
    <w:rsid w:val="006219E0"/>
    <w:rsid w:val="00622933"/>
    <w:rsid w:val="00634B22"/>
    <w:rsid w:val="00693BCA"/>
    <w:rsid w:val="00693D84"/>
    <w:rsid w:val="00694D1B"/>
    <w:rsid w:val="006C1AAA"/>
    <w:rsid w:val="006E5643"/>
    <w:rsid w:val="006F6ADA"/>
    <w:rsid w:val="00745977"/>
    <w:rsid w:val="00775309"/>
    <w:rsid w:val="00784D92"/>
    <w:rsid w:val="00792B90"/>
    <w:rsid w:val="007A72E4"/>
    <w:rsid w:val="007B02BC"/>
    <w:rsid w:val="007B5BCD"/>
    <w:rsid w:val="007C7532"/>
    <w:rsid w:val="007F6137"/>
    <w:rsid w:val="007F715D"/>
    <w:rsid w:val="007F7334"/>
    <w:rsid w:val="00855C25"/>
    <w:rsid w:val="00857BC6"/>
    <w:rsid w:val="0088139A"/>
    <w:rsid w:val="00881DC1"/>
    <w:rsid w:val="00882431"/>
    <w:rsid w:val="00882C31"/>
    <w:rsid w:val="008833DB"/>
    <w:rsid w:val="008848DE"/>
    <w:rsid w:val="00885A12"/>
    <w:rsid w:val="008A060B"/>
    <w:rsid w:val="008E3E9F"/>
    <w:rsid w:val="008F3FEE"/>
    <w:rsid w:val="00926646"/>
    <w:rsid w:val="00927CC1"/>
    <w:rsid w:val="00947E3F"/>
    <w:rsid w:val="009522B8"/>
    <w:rsid w:val="00962B5C"/>
    <w:rsid w:val="009646E1"/>
    <w:rsid w:val="00966576"/>
    <w:rsid w:val="00984859"/>
    <w:rsid w:val="00992214"/>
    <w:rsid w:val="009D18B7"/>
    <w:rsid w:val="009F7511"/>
    <w:rsid w:val="00A17FA9"/>
    <w:rsid w:val="00A51CF4"/>
    <w:rsid w:val="00A52E74"/>
    <w:rsid w:val="00A53ED7"/>
    <w:rsid w:val="00A62E22"/>
    <w:rsid w:val="00A63800"/>
    <w:rsid w:val="00AA047B"/>
    <w:rsid w:val="00AA42AC"/>
    <w:rsid w:val="00AF398D"/>
    <w:rsid w:val="00B03CEE"/>
    <w:rsid w:val="00B03F94"/>
    <w:rsid w:val="00B17086"/>
    <w:rsid w:val="00B22E38"/>
    <w:rsid w:val="00B22EF4"/>
    <w:rsid w:val="00B322B3"/>
    <w:rsid w:val="00B40A11"/>
    <w:rsid w:val="00B633A7"/>
    <w:rsid w:val="00B77570"/>
    <w:rsid w:val="00B850EF"/>
    <w:rsid w:val="00B9582C"/>
    <w:rsid w:val="00B96CBA"/>
    <w:rsid w:val="00BF0FBC"/>
    <w:rsid w:val="00C0029D"/>
    <w:rsid w:val="00C03BDA"/>
    <w:rsid w:val="00C86D93"/>
    <w:rsid w:val="00CA329A"/>
    <w:rsid w:val="00CA5CB5"/>
    <w:rsid w:val="00CE180B"/>
    <w:rsid w:val="00CF0165"/>
    <w:rsid w:val="00CF68E7"/>
    <w:rsid w:val="00D06C86"/>
    <w:rsid w:val="00D25E0A"/>
    <w:rsid w:val="00D26EA4"/>
    <w:rsid w:val="00D536DF"/>
    <w:rsid w:val="00D62106"/>
    <w:rsid w:val="00D7056D"/>
    <w:rsid w:val="00D877DB"/>
    <w:rsid w:val="00DA0869"/>
    <w:rsid w:val="00DA1452"/>
    <w:rsid w:val="00DD0A32"/>
    <w:rsid w:val="00DE56E4"/>
    <w:rsid w:val="00E008D3"/>
    <w:rsid w:val="00E0103C"/>
    <w:rsid w:val="00E13D4E"/>
    <w:rsid w:val="00E17C36"/>
    <w:rsid w:val="00E4119B"/>
    <w:rsid w:val="00E4448D"/>
    <w:rsid w:val="00E511BA"/>
    <w:rsid w:val="00E5424B"/>
    <w:rsid w:val="00E67E04"/>
    <w:rsid w:val="00E76B10"/>
    <w:rsid w:val="00E84A72"/>
    <w:rsid w:val="00EB0136"/>
    <w:rsid w:val="00EB109E"/>
    <w:rsid w:val="00ED2B10"/>
    <w:rsid w:val="00EE727A"/>
    <w:rsid w:val="00F04847"/>
    <w:rsid w:val="00F04AC8"/>
    <w:rsid w:val="00F15EFF"/>
    <w:rsid w:val="00F44707"/>
    <w:rsid w:val="00F93C9F"/>
    <w:rsid w:val="00FA661B"/>
    <w:rsid w:val="00FD7318"/>
    <w:rsid w:val="00FE41B4"/>
    <w:rsid w:val="00FE565C"/>
    <w:rsid w:val="00FF6859"/>
    <w:rsid w:val="0FCA26CE"/>
    <w:rsid w:val="619D7EDB"/>
    <w:rsid w:val="748946D9"/>
    <w:rsid w:val="7B8145E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unhideWhenUsed/>
    <w:qFormat/>
    <w:uiPriority w:val="99"/>
    <w:pPr>
      <w:spacing w:after="120"/>
    </w:pPr>
    <w:rPr>
      <w:szCs w:val="24"/>
    </w:r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正文文本 字符"/>
    <w:basedOn w:val="8"/>
    <w:link w:val="2"/>
    <w:qFormat/>
    <w:uiPriority w:val="99"/>
    <w:rPr>
      <w:szCs w:val="24"/>
    </w:rPr>
  </w:style>
  <w:style w:type="character" w:customStyle="1" w:styleId="13">
    <w:name w:val="批注框文本 字符"/>
    <w:basedOn w:val="8"/>
    <w:link w:val="3"/>
    <w:semiHidden/>
    <w:qFormat/>
    <w:uiPriority w:val="99"/>
    <w:rPr>
      <w:sz w:val="18"/>
      <w:szCs w:val="18"/>
    </w:rPr>
  </w:style>
  <w:style w:type="character" w:customStyle="1" w:styleId="14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paragraph" w:styleId="15">
    <w:name w:val="List Paragraph"/>
    <w:basedOn w:val="1"/>
    <w:unhideWhenUsed/>
    <w:uiPriority w:val="99"/>
    <w:pPr>
      <w:ind w:firstLine="420" w:firstLineChars="200"/>
    </w:pPr>
  </w:style>
  <w:style w:type="table" w:customStyle="1" w:styleId="16">
    <w:name w:val="网格型1"/>
    <w:basedOn w:val="6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1928</Words>
  <Characters>2106</Characters>
  <Lines>16</Lines>
  <Paragraphs>4</Paragraphs>
  <TotalTime>10</TotalTime>
  <ScaleCrop>false</ScaleCrop>
  <LinksUpToDate>false</LinksUpToDate>
  <CharactersWithSpaces>2110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2022-06-07T06:58:00Z</dcterms:created>
  <dc:creator>自考</dc:creator>
  <cp:lastModifiedBy>璽</cp:lastModifiedBy>
  <dcterms:modified xsi:type="dcterms:W3CDTF">2026-09-11T06:22:28Z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eyJoZGlkIjoiNGRmM2MzNGM0OGRkNDBjNzFkZjBjYzMzNDJlMjQ3YzIiLCJ1c2VySWQiOiIyOTc4NjkxOTIifQ==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C56A3806620D41EFBBA22545415A524C_12</vt:lpwstr>
  </property>
</Properties>
</file>